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>成都市金牛区茶店子街道锦城社区居民委员会“商居共融·鼎治一品”服务采购项目（采购编号：JC-22C0901）</w:t>
      </w:r>
      <w:r>
        <w:rPr>
          <w:rFonts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磋商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中国政府采购网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503</Characters>
  <Lines>7</Lines>
  <Paragraphs>2</Paragraphs>
  <TotalTime>1</TotalTime>
  <ScaleCrop>false</ScaleCrop>
  <LinksUpToDate>false</LinksUpToDate>
  <CharactersWithSpaces>696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2022-10-12T01:28:23Z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CEBA01981CA54BB0AF23F7A85FFFCC5C</vt:lpwstr>
  </property>
</Properties>
</file>