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</w:rPr>
        <w:t>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20A188D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2022-12-06T12:00:35Z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ED1372FB2C084316BC24C9495DB16876</vt:lpwstr>
  </property>
</Properties>
</file>